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2" w:type="dxa"/>
        <w:tblLayout w:type="fixed"/>
        <w:tblLook w:val="0000" w:firstRow="0" w:lastRow="0" w:firstColumn="0" w:lastColumn="0" w:noHBand="0" w:noVBand="0"/>
      </w:tblPr>
      <w:tblGrid>
        <w:gridCol w:w="171"/>
        <w:gridCol w:w="9991"/>
        <w:gridCol w:w="171"/>
      </w:tblGrid>
      <w:tr w:rsidR="003163C8" w:rsidRPr="00627630" w:rsidTr="00627630">
        <w:trPr>
          <w:gridBefore w:val="1"/>
          <w:wBefore w:w="171" w:type="dxa"/>
          <w:trHeight w:val="239"/>
        </w:trPr>
        <w:tc>
          <w:tcPr>
            <w:tcW w:w="10162" w:type="dxa"/>
            <w:gridSpan w:val="2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163C8" w:rsidRPr="00627630" w:rsidRDefault="0031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276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ГОДОВОЙ ОТЧЕТ</w:t>
            </w:r>
          </w:p>
          <w:p w:rsidR="003163C8" w:rsidRPr="00627630" w:rsidRDefault="0031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276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о ходе реализации и оценке эффективности подпрограммы </w:t>
            </w:r>
          </w:p>
          <w:p w:rsidR="003163C8" w:rsidRPr="00627630" w:rsidRDefault="0031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276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«Обеспечение государственной охраны, сохранения, использования и популяризации объектов культурного наследия, усадебных комплексов и военно-мемориальных объектов»</w:t>
            </w:r>
          </w:p>
          <w:p w:rsidR="003163C8" w:rsidRPr="00627630" w:rsidRDefault="0031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276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государственной программы Калужской области </w:t>
            </w:r>
          </w:p>
          <w:p w:rsidR="003163C8" w:rsidRPr="00627630" w:rsidRDefault="0031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276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«Развитие культуры в Калужской области»</w:t>
            </w:r>
          </w:p>
          <w:p w:rsidR="003163C8" w:rsidRPr="00627630" w:rsidRDefault="0031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6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 2020 году</w:t>
            </w:r>
          </w:p>
        </w:tc>
      </w:tr>
      <w:tr w:rsidR="003163C8" w:rsidRPr="00627630" w:rsidTr="00627630">
        <w:trPr>
          <w:gridAfter w:val="1"/>
          <w:wAfter w:w="171" w:type="dxa"/>
          <w:trHeight w:val="239"/>
        </w:trPr>
        <w:tc>
          <w:tcPr>
            <w:tcW w:w="10162" w:type="dxa"/>
            <w:gridSpan w:val="2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163C8" w:rsidRPr="00627630" w:rsidRDefault="003163C8" w:rsidP="0062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76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1. Общая часть</w:t>
            </w:r>
          </w:p>
        </w:tc>
      </w:tr>
      <w:tr w:rsidR="003163C8" w:rsidRPr="00627630" w:rsidTr="00627630">
        <w:trPr>
          <w:gridAfter w:val="1"/>
          <w:wAfter w:w="171" w:type="dxa"/>
          <w:trHeight w:val="239"/>
        </w:trPr>
        <w:tc>
          <w:tcPr>
            <w:tcW w:w="10162" w:type="dxa"/>
            <w:gridSpan w:val="2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163C8" w:rsidRPr="00627630" w:rsidRDefault="003163C8" w:rsidP="0062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7630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подпрограммы - «Обеспечение государственной охраны, сохранения, использования и популяризации объектов культурного наследия, усадебных комплексов и военно-мемориальных объектов» государственной программы Калужской области - «Развитие культуры в Калужской области».</w:t>
            </w:r>
          </w:p>
        </w:tc>
      </w:tr>
      <w:tr w:rsidR="003163C8" w:rsidRPr="00627630" w:rsidTr="00627630">
        <w:trPr>
          <w:gridAfter w:val="1"/>
          <w:wAfter w:w="171" w:type="dxa"/>
          <w:trHeight w:val="239"/>
        </w:trPr>
        <w:tc>
          <w:tcPr>
            <w:tcW w:w="10162" w:type="dxa"/>
            <w:gridSpan w:val="2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163C8" w:rsidRPr="00627630" w:rsidRDefault="003163C8" w:rsidP="0062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7630">
              <w:rPr>
                <w:rFonts w:ascii="Times New Roman" w:hAnsi="Times New Roman"/>
                <w:color w:val="000000"/>
                <w:sz w:val="26"/>
                <w:szCs w:val="26"/>
              </w:rPr>
              <w:t>1.1 Перечень основных мероприятий, входящих в</w:t>
            </w:r>
            <w:r w:rsidR="00627630" w:rsidRPr="006276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27630">
              <w:rPr>
                <w:rFonts w:ascii="Times New Roman" w:hAnsi="Times New Roman"/>
                <w:color w:val="000000"/>
                <w:sz w:val="26"/>
                <w:szCs w:val="26"/>
              </w:rPr>
              <w:t>подпрограмму:</w:t>
            </w:r>
          </w:p>
        </w:tc>
      </w:tr>
      <w:tr w:rsidR="003163C8" w:rsidRPr="00627630" w:rsidTr="00627630">
        <w:trPr>
          <w:gridAfter w:val="1"/>
          <w:wAfter w:w="171" w:type="dxa"/>
          <w:trHeight w:val="239"/>
        </w:trPr>
        <w:tc>
          <w:tcPr>
            <w:tcW w:w="10162" w:type="dxa"/>
            <w:gridSpan w:val="2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163C8" w:rsidRPr="00627630" w:rsidRDefault="003163C8" w:rsidP="0062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7630">
              <w:rPr>
                <w:rFonts w:ascii="Times New Roman" w:hAnsi="Times New Roman"/>
                <w:color w:val="000000"/>
                <w:sz w:val="26"/>
                <w:szCs w:val="26"/>
              </w:rPr>
              <w:t>1. «Обеспечение сохранения, использования объектов культурного наследия и выявленных объектов культурного наследия, находящихся в собственности Калужской области, участие в финансировании мероприятий по сохранению и популяризации объектов культурного наследия, находящихся в федеральной собственности»;</w:t>
            </w:r>
          </w:p>
        </w:tc>
      </w:tr>
      <w:tr w:rsidR="003163C8" w:rsidRPr="00627630" w:rsidTr="00627630">
        <w:trPr>
          <w:gridAfter w:val="1"/>
          <w:wAfter w:w="171" w:type="dxa"/>
          <w:trHeight w:val="239"/>
        </w:trPr>
        <w:tc>
          <w:tcPr>
            <w:tcW w:w="10162" w:type="dxa"/>
            <w:gridSpan w:val="2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163C8" w:rsidRPr="00627630" w:rsidRDefault="003163C8" w:rsidP="0062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7630">
              <w:rPr>
                <w:rFonts w:ascii="Times New Roman" w:hAnsi="Times New Roman"/>
                <w:color w:val="000000"/>
                <w:sz w:val="26"/>
                <w:szCs w:val="26"/>
              </w:rPr>
              <w:t>2. «Сохранение</w:t>
            </w:r>
            <w:r w:rsidR="00627630" w:rsidRPr="006276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27630">
              <w:rPr>
                <w:rFonts w:ascii="Times New Roman" w:hAnsi="Times New Roman"/>
                <w:color w:val="000000"/>
                <w:sz w:val="26"/>
                <w:szCs w:val="26"/>
              </w:rPr>
              <w:t>находящихся в собственности религиозных организаций объектов</w:t>
            </w:r>
            <w:r w:rsidR="00627630" w:rsidRPr="006276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27630">
              <w:rPr>
                <w:rFonts w:ascii="Times New Roman" w:hAnsi="Times New Roman"/>
                <w:color w:val="000000"/>
                <w:sz w:val="26"/>
                <w:szCs w:val="26"/>
              </w:rPr>
              <w:t>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выявленных объектов культурного наследия религиозного назначения».</w:t>
            </w:r>
          </w:p>
        </w:tc>
      </w:tr>
      <w:tr w:rsidR="003163C8" w:rsidRPr="00627630" w:rsidTr="00627630">
        <w:trPr>
          <w:gridAfter w:val="1"/>
          <w:wAfter w:w="171" w:type="dxa"/>
          <w:trHeight w:val="239"/>
        </w:trPr>
        <w:tc>
          <w:tcPr>
            <w:tcW w:w="10162" w:type="dxa"/>
            <w:gridSpan w:val="2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163C8" w:rsidRPr="00627630" w:rsidRDefault="003163C8" w:rsidP="0062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7630">
              <w:rPr>
                <w:rFonts w:ascii="Times New Roman" w:hAnsi="Times New Roman"/>
                <w:color w:val="000000"/>
                <w:sz w:val="26"/>
                <w:szCs w:val="26"/>
              </w:rPr>
              <w:t>1.2 Основные цели и задачи подпрограммы:</w:t>
            </w:r>
          </w:p>
        </w:tc>
      </w:tr>
      <w:tr w:rsidR="003163C8" w:rsidRPr="00627630" w:rsidTr="00627630">
        <w:trPr>
          <w:gridAfter w:val="1"/>
          <w:wAfter w:w="171" w:type="dxa"/>
          <w:trHeight w:val="239"/>
        </w:trPr>
        <w:tc>
          <w:tcPr>
            <w:tcW w:w="10162" w:type="dxa"/>
            <w:gridSpan w:val="2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163C8" w:rsidRPr="00627630" w:rsidRDefault="003163C8" w:rsidP="0062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7630">
              <w:rPr>
                <w:rFonts w:ascii="Times New Roman" w:hAnsi="Times New Roman"/>
                <w:color w:val="000000"/>
                <w:sz w:val="26"/>
                <w:szCs w:val="26"/>
              </w:rPr>
              <w:t>Цель</w:t>
            </w:r>
            <w:r w:rsidR="00627630" w:rsidRPr="006276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27630">
              <w:rPr>
                <w:rFonts w:ascii="Times New Roman" w:hAnsi="Times New Roman"/>
                <w:color w:val="000000"/>
                <w:sz w:val="26"/>
                <w:szCs w:val="26"/>
              </w:rPr>
              <w:t>подпрограммы:</w:t>
            </w:r>
          </w:p>
        </w:tc>
      </w:tr>
      <w:tr w:rsidR="003163C8" w:rsidRPr="00627630" w:rsidTr="00627630">
        <w:trPr>
          <w:gridAfter w:val="1"/>
          <w:wAfter w:w="171" w:type="dxa"/>
          <w:trHeight w:val="239"/>
        </w:trPr>
        <w:tc>
          <w:tcPr>
            <w:tcW w:w="10162" w:type="dxa"/>
            <w:gridSpan w:val="2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163C8" w:rsidRPr="00627630" w:rsidRDefault="003163C8" w:rsidP="0062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7630">
              <w:rPr>
                <w:rFonts w:ascii="Times New Roman" w:hAnsi="Times New Roman"/>
                <w:color w:val="000000"/>
                <w:sz w:val="26"/>
                <w:szCs w:val="26"/>
              </w:rPr>
              <w:t>- Сохранение объектов культурного наследия (памятников истории и культуры), расположенных на территории Калужской области.</w:t>
            </w:r>
          </w:p>
        </w:tc>
      </w:tr>
      <w:tr w:rsidR="003163C8" w:rsidRPr="00627630" w:rsidTr="00627630">
        <w:trPr>
          <w:gridAfter w:val="1"/>
          <w:wAfter w:w="171" w:type="dxa"/>
          <w:trHeight w:val="239"/>
        </w:trPr>
        <w:tc>
          <w:tcPr>
            <w:tcW w:w="10162" w:type="dxa"/>
            <w:gridSpan w:val="2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163C8" w:rsidRPr="00627630" w:rsidRDefault="003163C8" w:rsidP="0062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7630">
              <w:rPr>
                <w:rFonts w:ascii="Times New Roman" w:hAnsi="Times New Roman"/>
                <w:color w:val="000000"/>
                <w:sz w:val="26"/>
                <w:szCs w:val="26"/>
              </w:rPr>
              <w:t>Задачи подпрограммы:</w:t>
            </w:r>
          </w:p>
        </w:tc>
      </w:tr>
      <w:tr w:rsidR="003163C8" w:rsidRPr="00627630" w:rsidTr="00627630">
        <w:trPr>
          <w:gridAfter w:val="1"/>
          <w:wAfter w:w="171" w:type="dxa"/>
          <w:trHeight w:val="239"/>
        </w:trPr>
        <w:tc>
          <w:tcPr>
            <w:tcW w:w="10162" w:type="dxa"/>
            <w:gridSpan w:val="2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163C8" w:rsidRPr="00627630" w:rsidRDefault="003163C8" w:rsidP="0062763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7630">
              <w:rPr>
                <w:rFonts w:ascii="Times New Roman" w:hAnsi="Times New Roman"/>
                <w:color w:val="000000"/>
                <w:sz w:val="26"/>
                <w:szCs w:val="26"/>
              </w:rPr>
              <w:t>Сохранение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наследия.</w:t>
            </w:r>
          </w:p>
          <w:p w:rsidR="00DF0525" w:rsidRPr="00627630" w:rsidRDefault="00DF0525" w:rsidP="0062763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7630">
              <w:rPr>
                <w:rFonts w:ascii="Times New Roman" w:hAnsi="Times New Roman"/>
                <w:sz w:val="26"/>
                <w:szCs w:val="26"/>
              </w:rPr>
              <w:t>Восстановление первоначально функционального использования объектов культурного наследия и выявленных объектов культурного наследия религиозного назначения путем их приведения в удовлетворительное состояние.</w:t>
            </w:r>
          </w:p>
        </w:tc>
      </w:tr>
      <w:tr w:rsidR="003163C8" w:rsidRPr="00627630" w:rsidTr="00627630">
        <w:trPr>
          <w:gridAfter w:val="1"/>
          <w:wAfter w:w="171" w:type="dxa"/>
          <w:trHeight w:val="239"/>
        </w:trPr>
        <w:tc>
          <w:tcPr>
            <w:tcW w:w="10162" w:type="dxa"/>
            <w:gridSpan w:val="2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163C8" w:rsidRPr="00627630" w:rsidRDefault="003163C8" w:rsidP="0062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76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2. Результаты, достигнутые за отчетный период </w:t>
            </w:r>
          </w:p>
        </w:tc>
      </w:tr>
      <w:tr w:rsidR="003163C8" w:rsidRPr="00627630" w:rsidTr="00627630">
        <w:trPr>
          <w:gridAfter w:val="1"/>
          <w:wAfter w:w="171" w:type="dxa"/>
          <w:trHeight w:val="239"/>
        </w:trPr>
        <w:tc>
          <w:tcPr>
            <w:tcW w:w="10162" w:type="dxa"/>
            <w:gridSpan w:val="2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163C8" w:rsidRPr="00627630" w:rsidRDefault="003163C8" w:rsidP="0062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7630">
              <w:rPr>
                <w:rFonts w:ascii="Times New Roman" w:hAnsi="Times New Roman"/>
                <w:color w:val="000000"/>
                <w:sz w:val="26"/>
                <w:szCs w:val="26"/>
              </w:rPr>
              <w:t>2.1 Основные результаты, достигнутые в 2020 году:</w:t>
            </w:r>
          </w:p>
        </w:tc>
      </w:tr>
      <w:tr w:rsidR="003163C8" w:rsidRPr="00627630" w:rsidTr="00627630">
        <w:trPr>
          <w:gridAfter w:val="1"/>
          <w:wAfter w:w="171" w:type="dxa"/>
          <w:trHeight w:val="239"/>
        </w:trPr>
        <w:tc>
          <w:tcPr>
            <w:tcW w:w="10162" w:type="dxa"/>
            <w:gridSpan w:val="2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F4CFA" w:rsidRPr="00627630" w:rsidRDefault="00AF4CFA" w:rsidP="006276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</w:pPr>
            <w:r w:rsidRPr="00627630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 xml:space="preserve">На сегодняшний день общее количество </w:t>
            </w:r>
            <w:r w:rsidR="00DF0525" w:rsidRPr="00627630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объектов культурного наследия (далее – ОКН)</w:t>
            </w:r>
            <w:r w:rsidRPr="00627630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 xml:space="preserve"> составляет в регионе 2539. Из этого числа к ОКН народов Российской Федерации отнесены 608 объектов. 1931 объект является выявленным ОКН.</w:t>
            </w:r>
          </w:p>
          <w:p w:rsidR="00AF4CFA" w:rsidRPr="00627630" w:rsidRDefault="00AF4CFA" w:rsidP="00627630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</w:pPr>
            <w:r w:rsidRPr="00627630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Как видно из статистики внушительное количество объектов являются выявленными ОКН, то есть временно подлежащими государственной охране</w:t>
            </w:r>
            <w:r w:rsidR="00627630" w:rsidRPr="00627630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 xml:space="preserve"> </w:t>
            </w:r>
            <w:r w:rsidRPr="00627630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до получения статуса ОКН народов Российской Федерации. В отношении таких объектов требуется проведение государственной историко-культурной экспертизы (далее – экспертизы) по обоснованию целесообразности их включения в единый государственный реестр ОКН (далее – реестр).</w:t>
            </w:r>
          </w:p>
          <w:p w:rsidR="00AF4CFA" w:rsidRPr="00627630" w:rsidRDefault="00DF0525" w:rsidP="00627630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27630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В</w:t>
            </w:r>
            <w:r w:rsidR="00AF4CFA" w:rsidRPr="00627630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 xml:space="preserve"> 2020 году организовано проведение 74 государственных историко-культурных</w:t>
            </w:r>
            <w:r w:rsidR="00627630" w:rsidRPr="00627630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 xml:space="preserve"> </w:t>
            </w:r>
            <w:r w:rsidR="00AF4CFA" w:rsidRPr="00627630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экспертиз. Д</w:t>
            </w:r>
            <w:r w:rsidR="00AF4CFA" w:rsidRPr="00627630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ля </w:t>
            </w:r>
            <w:proofErr w:type="gramStart"/>
            <w:r w:rsidR="00AF4CFA" w:rsidRPr="00627630">
              <w:rPr>
                <w:rFonts w:ascii="Times New Roman" w:eastAsia="Times New Roman" w:hAnsi="Times New Roman"/>
                <w:bCs/>
                <w:sz w:val="26"/>
                <w:szCs w:val="26"/>
              </w:rPr>
              <w:t>предлагаемых</w:t>
            </w:r>
            <w:proofErr w:type="gramEnd"/>
            <w:r w:rsidR="00AF4CFA" w:rsidRPr="00627630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к включению в реестр ОКН определена категория, предмет охраны, границы и режимы использования территории.</w:t>
            </w:r>
            <w:r w:rsidR="00AF4CFA" w:rsidRPr="00627630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 xml:space="preserve"> На основании государственных историко-культурных экспертиз 71 объект, сохранивший историко-культурную ценность, включен</w:t>
            </w:r>
            <w:r w:rsidR="00AF4CFA" w:rsidRPr="00627630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в реестр с последующим внесением данных в единую государственную </w:t>
            </w:r>
            <w:r w:rsidR="00AF4CFA" w:rsidRPr="00627630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информационную систему (АИС ЕГРОКН).</w:t>
            </w:r>
          </w:p>
          <w:p w:rsidR="00AF4CFA" w:rsidRPr="00627630" w:rsidRDefault="00AF4CFA" w:rsidP="00627630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27630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В 2020 году приняты решения</w:t>
            </w:r>
            <w:r w:rsidR="00627630" w:rsidRPr="00627630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 xml:space="preserve"> </w:t>
            </w:r>
            <w:r w:rsidRPr="00627630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о включении 8 объектов в перечень выявленных объектов культурного наследия.</w:t>
            </w:r>
            <w:r w:rsidR="00627630" w:rsidRPr="00627630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 xml:space="preserve"> </w:t>
            </w:r>
            <w:r w:rsidRPr="00627630">
              <w:rPr>
                <w:rFonts w:ascii="Times New Roman" w:hAnsi="Times New Roman"/>
                <w:sz w:val="26"/>
                <w:szCs w:val="26"/>
              </w:rPr>
              <w:t>За отчетный период</w:t>
            </w:r>
            <w:r w:rsidRPr="0062763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27630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разработаны и утверждены предметы охраны</w:t>
            </w:r>
            <w:r w:rsidRPr="0062763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27630">
              <w:rPr>
                <w:rFonts w:ascii="Times New Roman" w:hAnsi="Times New Roman"/>
                <w:sz w:val="26"/>
                <w:szCs w:val="26"/>
              </w:rPr>
              <w:t>40</w:t>
            </w:r>
            <w:r w:rsidRPr="00627630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 xml:space="preserve"> ОКН, а границами территорий обеспечены 105 ОКН.</w:t>
            </w:r>
            <w:r w:rsidRPr="00627630"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  <w:p w:rsidR="00AF4CFA" w:rsidRPr="00627630" w:rsidRDefault="00AF4CFA" w:rsidP="00627630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</w:pPr>
            <w:r w:rsidRPr="00627630">
              <w:rPr>
                <w:rFonts w:ascii="Times New Roman" w:hAnsi="Times New Roman"/>
                <w:sz w:val="26"/>
                <w:szCs w:val="26"/>
              </w:rPr>
              <w:t xml:space="preserve">В Управлении налажена работа по </w:t>
            </w:r>
            <w:bookmarkStart w:id="0" w:name="dst581"/>
            <w:bookmarkEnd w:id="0"/>
            <w:r w:rsidRPr="00627630">
              <w:rPr>
                <w:rFonts w:ascii="Times New Roman" w:hAnsi="Times New Roman"/>
                <w:sz w:val="26"/>
                <w:szCs w:val="26"/>
              </w:rPr>
              <w:t xml:space="preserve">побуждению законных владельцев ОКН </w:t>
            </w:r>
            <w:proofErr w:type="gramStart"/>
            <w:r w:rsidRPr="00627630">
              <w:rPr>
                <w:rFonts w:ascii="Times New Roman" w:hAnsi="Times New Roman"/>
                <w:sz w:val="26"/>
                <w:szCs w:val="26"/>
              </w:rPr>
              <w:t>устанавливать</w:t>
            </w:r>
            <w:proofErr w:type="gramEnd"/>
            <w:r w:rsidRPr="00627630">
              <w:rPr>
                <w:rFonts w:ascii="Times New Roman" w:hAnsi="Times New Roman"/>
                <w:sz w:val="26"/>
                <w:szCs w:val="26"/>
              </w:rPr>
              <w:t xml:space="preserve"> информационные надписи и обозначения</w:t>
            </w:r>
            <w:r w:rsidRPr="00627630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Pr="00627630">
              <w:rPr>
                <w:rFonts w:ascii="Times New Roman" w:hAnsi="Times New Roman"/>
                <w:sz w:val="26"/>
                <w:szCs w:val="26"/>
              </w:rPr>
              <w:t>50 владельцам ОКН выданы соответствующие задания. На 15 ОКН надписи уже установлены.</w:t>
            </w:r>
          </w:p>
          <w:p w:rsidR="00AF4CFA" w:rsidRPr="00627630" w:rsidRDefault="00AF4CFA" w:rsidP="00627630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</w:pPr>
            <w:r w:rsidRPr="00627630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 xml:space="preserve">На протяжении трех лет управление является одним из исполнителей целевой </w:t>
            </w:r>
            <w:proofErr w:type="gramStart"/>
            <w:r w:rsidRPr="00627630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модели упрощения процедур ведения бизнеса</w:t>
            </w:r>
            <w:proofErr w:type="gramEnd"/>
            <w:r w:rsidRPr="00627630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 xml:space="preserve"> и повышения инвестиционной привлекательности субъектов Российской Федерации. К настоящему времени показатель «обеспечение внесения в единый государственный реестр недвижимости сведений об ОКН, являющихся объектами недвижимого имущества» выполнен на 100%. Показатель «разработка, утверждение и внесение в единый государственный реестр недвижимости сведений о границах и режимах использования территорий ОКН,</w:t>
            </w:r>
            <w:r w:rsidR="00627630" w:rsidRPr="00627630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 xml:space="preserve"> </w:t>
            </w:r>
            <w:r w:rsidRPr="00627630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являющихся объектами недвижимого имущества» выполнен на 100 %.</w:t>
            </w:r>
          </w:p>
          <w:p w:rsidR="00AF4CFA" w:rsidRPr="00627630" w:rsidRDefault="00AF4CFA" w:rsidP="00627630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В целях защиты объектов археологического наследия законодательством предусмотрена норма по проведению хозяйствующими субъектами и рассмотрению региональным органом охраны ОКН государственных историко-культурной экспертиз земель, подлежащих хозяйственному освоению. Поскольку экономика нашей области активно развивается, данный блок стал довольно существенным в работе Управления. </w:t>
            </w:r>
          </w:p>
          <w:p w:rsidR="00AF4CFA" w:rsidRPr="00627630" w:rsidRDefault="00AF4CFA" w:rsidP="006276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В 2020 году Управлением рассмотрен 631 запрос об историко-культурных ограничениях на земельных участках. Рассмотрены 124 и получили согласование 119 историко-культурных экспертиз земельных участков и разделов обеспечения сохранности объектов культурного (в том числе археологического) наследия. </w:t>
            </w:r>
          </w:p>
          <w:p w:rsidR="00AF4CFA" w:rsidRPr="00627630" w:rsidRDefault="00AF4CFA" w:rsidP="006276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Одна из важных задач Управления – непосредственное курирование проведения научно-проектных и ремонтно-реставрационных работ, заказчиком которых выступает подведомственное учреждение ГАУК </w:t>
            </w:r>
            <w:proofErr w:type="gramStart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КО</w:t>
            </w:r>
            <w:proofErr w:type="gramEnd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«Центр Наследия». Перечень объектов, в отношении которых проведены данные</w:t>
            </w:r>
            <w:r w:rsidR="00627630"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работы</w:t>
            </w:r>
            <w:r w:rsidR="00627630"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в 2020 году:</w:t>
            </w:r>
          </w:p>
          <w:p w:rsidR="00AF4CFA" w:rsidRPr="00627630" w:rsidRDefault="00AF4CFA" w:rsidP="006276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В 2020 году ГАУК </w:t>
            </w:r>
            <w:proofErr w:type="gramStart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КО</w:t>
            </w:r>
            <w:proofErr w:type="gramEnd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«Центр Наследия» была разработана научно-проектная документация в отношении следующих объектов культурного наследия:</w:t>
            </w:r>
          </w:p>
          <w:p w:rsidR="00AF4CFA" w:rsidRPr="00627630" w:rsidRDefault="00AF4CFA" w:rsidP="006276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- Свято-Троицкого кафедрального собора, входящего в состав объекта культурного наследия «Ансамбль Присутственных мест с парком и собором Троицы, 1796-1819гг.» г. Калуга (территория Центрального городского парка культуры и отдыха) – (цоколь);</w:t>
            </w:r>
          </w:p>
          <w:p w:rsidR="00AF4CFA" w:rsidRPr="00627630" w:rsidRDefault="00AF4CFA" w:rsidP="006276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- «Ансамбль Присутственных мест с парком и собором Троицы, 1796-1819гг», г. Калуга, ул. Баженова, д. 2; пл. Старый торг, д. 4; пл. Старый торг, д. 5; ул. Карла Маркса, район д. 4; пл. Старый торг, Центральный городской парк культуры и отдыха (рабочая проектно-сметная документация внутренних помещений)</w:t>
            </w:r>
            <w:proofErr w:type="gramStart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;</w:t>
            </w:r>
            <w:proofErr w:type="gramEnd"/>
          </w:p>
          <w:p w:rsidR="00AF4CFA" w:rsidRPr="00627630" w:rsidRDefault="00AF4CFA" w:rsidP="006276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- «Дом Госбанка (</w:t>
            </w:r>
            <w:proofErr w:type="spellStart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Мешкова</w:t>
            </w:r>
            <w:proofErr w:type="spellEnd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)», ХIХ в. по адресу: </w:t>
            </w:r>
            <w:proofErr w:type="spellStart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г</w:t>
            </w:r>
            <w:proofErr w:type="gramStart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.К</w:t>
            </w:r>
            <w:proofErr w:type="gramEnd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алуга</w:t>
            </w:r>
            <w:proofErr w:type="spellEnd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, ул.Достоевского,48 (ремонт фасадов)</w:t>
            </w:r>
          </w:p>
          <w:p w:rsidR="00AF4CFA" w:rsidRPr="00627630" w:rsidRDefault="00AF4CFA" w:rsidP="006276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- «Дом </w:t>
            </w:r>
            <w:proofErr w:type="spellStart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Милютинского</w:t>
            </w:r>
            <w:proofErr w:type="spellEnd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приюта с воротами и церковью», </w:t>
            </w:r>
            <w:proofErr w:type="spellStart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г</w:t>
            </w:r>
            <w:proofErr w:type="gramStart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.К</w:t>
            </w:r>
            <w:proofErr w:type="gramEnd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алуга</w:t>
            </w:r>
            <w:proofErr w:type="spellEnd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ул.Суворова</w:t>
            </w:r>
            <w:proofErr w:type="spellEnd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, 117 (приспособление под современное использование ворот);</w:t>
            </w:r>
          </w:p>
          <w:p w:rsidR="00AF4CFA" w:rsidRPr="00627630" w:rsidRDefault="00AF4CFA" w:rsidP="006276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- «Ансамбль жилых домов», </w:t>
            </w:r>
            <w:r w:rsidRPr="00627630">
              <w:rPr>
                <w:rFonts w:ascii="Times New Roman" w:eastAsia="Times New Roman" w:hAnsi="Times New Roman"/>
                <w:sz w:val="26"/>
                <w:szCs w:val="26"/>
                <w:lang w:val="en-US" w:eastAsia="en-US"/>
              </w:rPr>
              <w:t>XIX</w:t>
            </w:r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в., </w:t>
            </w:r>
            <w:proofErr w:type="spellStart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г</w:t>
            </w:r>
            <w:proofErr w:type="gramStart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.К</w:t>
            </w:r>
            <w:proofErr w:type="gramEnd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алуга</w:t>
            </w:r>
            <w:proofErr w:type="spellEnd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, ул. Театральная, д. 43/8,</w:t>
            </w:r>
            <w:r w:rsidR="00627630"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пл. Старый торг, д.9, д.9/10 (рабочая документация на ремонт фасадов), </w:t>
            </w:r>
          </w:p>
          <w:p w:rsidR="00AF4CFA" w:rsidRPr="00627630" w:rsidRDefault="00AF4CFA" w:rsidP="006276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- «Ансамбль Гостиного двора, 1784 г.», по адресу: Калужская область, г. Калуга, ул. Ленина, 108, 110, 112, 114, 116, 118, 120, 122, 124, 126, пер. </w:t>
            </w:r>
            <w:proofErr w:type="spellStart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Гостинорядский</w:t>
            </w:r>
            <w:proofErr w:type="spellEnd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, 12, 13 (рабочая документация на ремонт части фасадов корпусов 126 </w:t>
            </w:r>
            <w:proofErr w:type="spellStart"/>
            <w:proofErr w:type="gramStart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стр</w:t>
            </w:r>
            <w:proofErr w:type="spellEnd"/>
            <w:proofErr w:type="gramEnd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1, </w:t>
            </w:r>
            <w:proofErr w:type="spellStart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стр</w:t>
            </w:r>
            <w:proofErr w:type="spellEnd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2)</w:t>
            </w:r>
          </w:p>
          <w:p w:rsidR="00AF4CFA" w:rsidRPr="00627630" w:rsidRDefault="00AF4CFA" w:rsidP="006276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- «Усадьба Ярошенко»,1880-е - 1900-е гг., 1950 гг., по адресу: Калужская область, Юхновский район, </w:t>
            </w:r>
            <w:proofErr w:type="spellStart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с</w:t>
            </w:r>
            <w:proofErr w:type="gramStart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.С</w:t>
            </w:r>
            <w:proofErr w:type="gramEnd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анатория</w:t>
            </w:r>
            <w:proofErr w:type="spellEnd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«Павлищев Бор», ул. Сосновая, д.17 (эскизный проект)</w:t>
            </w:r>
          </w:p>
          <w:p w:rsidR="00AF4CFA" w:rsidRPr="00627630" w:rsidRDefault="00AF4CFA" w:rsidP="006276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lastRenderedPageBreak/>
              <w:t xml:space="preserve">- «Южный флигель усадьбы городской (Яновских)», сер. XIX-нач. </w:t>
            </w:r>
            <w:proofErr w:type="gramStart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XX вв., г. Калуга, ул. Воскресенская, д,9, стр. 3 (приспособление под современное использование).</w:t>
            </w:r>
            <w:proofErr w:type="gramEnd"/>
          </w:p>
          <w:p w:rsidR="00AF4CFA" w:rsidRPr="00627630" w:rsidRDefault="00AF4CFA" w:rsidP="006276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В 2020 г. ГАУК </w:t>
            </w:r>
            <w:proofErr w:type="gramStart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КО</w:t>
            </w:r>
            <w:proofErr w:type="gramEnd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«Центр Наследия»</w:t>
            </w:r>
            <w:r w:rsidR="00627630"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были проведены ремонтно-реставрационные работы (а также противоаварийные работы и работы по приспособлению под современное использование) следующих объектов культурного наследия:</w:t>
            </w:r>
          </w:p>
          <w:p w:rsidR="00AF4CFA" w:rsidRPr="00627630" w:rsidRDefault="00AF4CFA" w:rsidP="006276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- Ансамбль Гостиного двора, 1784 г.» по адресу: Калужская область, г. Калуга, ул. Ленина, 108, 110, 112, 114, 116, 118, 120, 122, 124, 126, пер. </w:t>
            </w:r>
            <w:proofErr w:type="spellStart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Гостинорядский</w:t>
            </w:r>
            <w:proofErr w:type="spellEnd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, 12, 13 (ремонт части фасадов корпусов 126 </w:t>
            </w:r>
            <w:proofErr w:type="spellStart"/>
            <w:proofErr w:type="gramStart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стр</w:t>
            </w:r>
            <w:proofErr w:type="spellEnd"/>
            <w:proofErr w:type="gramEnd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1, </w:t>
            </w:r>
            <w:proofErr w:type="spellStart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стр</w:t>
            </w:r>
            <w:proofErr w:type="spellEnd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2, а также всех корпусов по фасадам по ул. Ленина)</w:t>
            </w:r>
          </w:p>
          <w:p w:rsidR="00AF4CFA" w:rsidRPr="00627630" w:rsidRDefault="00AF4CFA" w:rsidP="006276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Западный флигель объекта культурного наследия «</w:t>
            </w:r>
            <w:proofErr w:type="spellStart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Малютинский</w:t>
            </w:r>
            <w:proofErr w:type="spellEnd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приют: восточный флигель; западный флигель; баня», вт. </w:t>
            </w:r>
            <w:proofErr w:type="spellStart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четв</w:t>
            </w:r>
            <w:proofErr w:type="spellEnd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. Х</w:t>
            </w:r>
            <w:proofErr w:type="gramStart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I</w:t>
            </w:r>
            <w:proofErr w:type="gramEnd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Х в. - нач. ХХ вв., расположенный по адресу: </w:t>
            </w:r>
            <w:proofErr w:type="spellStart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г</w:t>
            </w:r>
            <w:proofErr w:type="gramStart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.К</w:t>
            </w:r>
            <w:proofErr w:type="gramEnd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алуга</w:t>
            </w:r>
            <w:proofErr w:type="spellEnd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, ул.Суворова,117 (ремонт части фасада, в том числе замена окон);</w:t>
            </w:r>
          </w:p>
          <w:p w:rsidR="00AF4CFA" w:rsidRPr="00627630" w:rsidRDefault="00AF4CFA" w:rsidP="006276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- Ворота, входящие в состав объекта культурного наследия Дом </w:t>
            </w:r>
            <w:proofErr w:type="spellStart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Милютинского</w:t>
            </w:r>
            <w:proofErr w:type="spellEnd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приюта с воротами и церковью», XIX в., по адресу: г. Калуга, ул. Суворова, 117 (</w:t>
            </w:r>
            <w:proofErr w:type="spellStart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ремонтно</w:t>
            </w:r>
            <w:proofErr w:type="spellEnd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– реставрационные работы (приспособление под современное использование);</w:t>
            </w:r>
          </w:p>
          <w:p w:rsidR="00AF4CFA" w:rsidRPr="00627630" w:rsidRDefault="00AF4CFA" w:rsidP="006276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- Дом Госбанка (</w:t>
            </w:r>
            <w:proofErr w:type="spellStart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Мешкова</w:t>
            </w:r>
            <w:proofErr w:type="spellEnd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), ХIХ в. по адресу: </w:t>
            </w:r>
            <w:proofErr w:type="spellStart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г</w:t>
            </w:r>
            <w:proofErr w:type="gramStart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.К</w:t>
            </w:r>
            <w:proofErr w:type="gramEnd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алуга</w:t>
            </w:r>
            <w:proofErr w:type="spellEnd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, ул.Достоевского,48 (ремонт крыши);</w:t>
            </w:r>
          </w:p>
          <w:p w:rsidR="00AF4CFA" w:rsidRPr="00627630" w:rsidRDefault="00AF4CFA" w:rsidP="006276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- Ансамбль жилых домов, XIX в., </w:t>
            </w:r>
            <w:proofErr w:type="spellStart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г</w:t>
            </w:r>
            <w:proofErr w:type="gramStart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.К</w:t>
            </w:r>
            <w:proofErr w:type="gramEnd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алуга</w:t>
            </w:r>
            <w:proofErr w:type="spellEnd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, ул. Театральная, д. 43/8, пл. Старый торг, д.9, д.9/10 (ремонт фасадов);</w:t>
            </w:r>
          </w:p>
          <w:p w:rsidR="00AF4CFA" w:rsidRPr="00627630" w:rsidRDefault="00AF4CFA" w:rsidP="006276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- Усадьба </w:t>
            </w:r>
            <w:proofErr w:type="spellStart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Торубаевых</w:t>
            </w:r>
            <w:proofErr w:type="spellEnd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: главный дом; ворота, нач.1830-х гг., 1880-90-е гг., по адресу: г. Калуга, ул. Кутузова, д. 26 (ремонт фасадов);</w:t>
            </w:r>
            <w:proofErr w:type="gramEnd"/>
          </w:p>
          <w:p w:rsidR="00AF4CFA" w:rsidRPr="00627630" w:rsidRDefault="00AF4CFA" w:rsidP="006276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- Церковь Покрова Пресвятой Богородицы» 1888 г. Жуковский район, с. Покров (первоочередные консервационные работы);</w:t>
            </w:r>
          </w:p>
          <w:p w:rsidR="00AF4CFA" w:rsidRPr="00627630" w:rsidRDefault="00AF4CFA" w:rsidP="006276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Продолжаются работы на объектах:</w:t>
            </w:r>
          </w:p>
          <w:p w:rsidR="00AF4CFA" w:rsidRPr="00627630" w:rsidRDefault="00AF4CFA" w:rsidP="006276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- Ансамбль Присутственных мест с парком и собором Троицы, 1796-1819гг., г. Калуга, ул. Баженова, д. 2; пл. Старый торг, д. 4; пл. Старый торг, д. 5; ул. Карла Маркса, район д. 4; пл. Старый торг, Центральный городской парк культуры и отдыха (приспособление под современное использование внутренних помещений);</w:t>
            </w:r>
            <w:proofErr w:type="gramEnd"/>
          </w:p>
          <w:p w:rsidR="00AF4CFA" w:rsidRPr="00627630" w:rsidRDefault="00AF4CFA" w:rsidP="006276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- Свято-Троицкий кафедральный собор, входящий в состав объекта культурного наследия федерального значения «Ансамбль Присутственных мест с парком и собором Троицы», 1796-1819 гг., территория Центрального городского парка культуры и отдыха в </w:t>
            </w:r>
            <w:proofErr w:type="spellStart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г</w:t>
            </w:r>
            <w:proofErr w:type="gramStart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.К</w:t>
            </w:r>
            <w:proofErr w:type="gramEnd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алуге</w:t>
            </w:r>
            <w:proofErr w:type="spellEnd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(благоустройство).</w:t>
            </w:r>
          </w:p>
          <w:p w:rsidR="00AF4CFA" w:rsidRPr="00627630" w:rsidRDefault="00AF4CFA" w:rsidP="006276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Государственную охрану объектов культурного наследия невозможно представить без административного и документарного сопровождения мероприятий по сохранению объектов культурного наследия.</w:t>
            </w:r>
          </w:p>
          <w:p w:rsidR="00AF4CFA" w:rsidRPr="00627630" w:rsidRDefault="00AF4CFA" w:rsidP="00627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Так, в 2020 году за счет средств областного бюджета разработана научно-проектная документация по реставрации девяти, входящих в состав ОКН регионального значения «Усадьба Ярошенко» в Юхновском районе. Заказчиком выступило ГАУК </w:t>
            </w:r>
            <w:proofErr w:type="gramStart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КО</w:t>
            </w:r>
            <w:proofErr w:type="gramEnd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«Центр Наследия». Д</w:t>
            </w:r>
            <w:r w:rsidRPr="00627630">
              <w:rPr>
                <w:rFonts w:ascii="Times New Roman" w:hAnsi="Times New Roman"/>
                <w:sz w:val="26"/>
                <w:szCs w:val="26"/>
              </w:rPr>
              <w:t>окументация уже передана в министерство экономического развития области для проведения в 2021 году приватизации по схеме «1 рубль за 1 объект» в обмен на полный комплекс реставрационных работ.</w:t>
            </w:r>
          </w:p>
          <w:p w:rsidR="00AF4CFA" w:rsidRPr="00627630" w:rsidRDefault="00AF4CFA" w:rsidP="006276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В рамках проекта «Историческая память» партии «ЕДИНАЯ РОССИЯ» в Мосальском районе реализуется проект восстановления ОКН федерального значения «Церковь Успения». Для возможности участия в проекте Управление осуществляло методическое сопровождение при формировании документов на стадии подачи заявки. В период 2019-2020 гг. проведены противоаварийные работы и разработана проектная документация на полный комплекс работ «под ключ». В настоящее время на основании разрешения Управления осуществляется реставрация объекта.</w:t>
            </w:r>
          </w:p>
          <w:p w:rsidR="00AF4CFA" w:rsidRPr="00627630" w:rsidRDefault="00AF4CFA" w:rsidP="006276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За 2020 год Управлением законным владельцам и подрядным организациям выдано </w:t>
            </w:r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lastRenderedPageBreak/>
              <w:t>130 заданий и 127 разрешений на работы по сохранению объектов культурного наследия. Наблюдается прогрессивная динамика в количестве документов административного сопровождения ремонтно-реставрационных работ. Эта динамика обусловлена, в том числе, подготовкой к празднованию в 2021 году 650-летия основания города Калуги.</w:t>
            </w:r>
            <w:r w:rsidR="00627630"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AF4CFA" w:rsidRPr="00627630" w:rsidRDefault="00AF4CFA" w:rsidP="00627630">
            <w:pPr>
              <w:pStyle w:val="a3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7630">
              <w:rPr>
                <w:rFonts w:ascii="Times New Roman" w:hAnsi="Times New Roman"/>
                <w:b/>
                <w:bCs/>
                <w:sz w:val="26"/>
                <w:szCs w:val="26"/>
              </w:rPr>
              <w:tab/>
            </w:r>
            <w:r w:rsidRPr="00627630">
              <w:rPr>
                <w:rFonts w:ascii="Times New Roman" w:hAnsi="Times New Roman"/>
                <w:sz w:val="26"/>
                <w:szCs w:val="26"/>
              </w:rPr>
              <w:t xml:space="preserve">В сфере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на постоянной основе осуществлялась работа по мониторингу проведения работ по сохранению объектов культурного наследия, выполнены в полном объеме индикаторы исполнения переданных Российской Федерацией полномочий по федеральному надзору в той же сфере. </w:t>
            </w:r>
          </w:p>
          <w:p w:rsidR="00AF4CFA" w:rsidRPr="00627630" w:rsidRDefault="00AF4CFA" w:rsidP="00627630">
            <w:pPr>
              <w:pStyle w:val="a3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7630">
              <w:rPr>
                <w:rFonts w:ascii="Times New Roman" w:hAnsi="Times New Roman"/>
                <w:sz w:val="26"/>
                <w:szCs w:val="26"/>
              </w:rPr>
              <w:t xml:space="preserve">В 2020 году проведено 76 мероприятий по </w:t>
            </w:r>
            <w:proofErr w:type="gramStart"/>
            <w:r w:rsidRPr="00627630">
              <w:rPr>
                <w:rFonts w:ascii="Times New Roman" w:hAnsi="Times New Roman"/>
                <w:sz w:val="26"/>
                <w:szCs w:val="26"/>
              </w:rPr>
              <w:t>контролю за</w:t>
            </w:r>
            <w:proofErr w:type="gramEnd"/>
            <w:r w:rsidRPr="00627630">
              <w:rPr>
                <w:rFonts w:ascii="Times New Roman" w:hAnsi="Times New Roman"/>
                <w:sz w:val="26"/>
                <w:szCs w:val="26"/>
              </w:rPr>
              <w:t xml:space="preserve"> состоянием объектов культурного наследия. </w:t>
            </w:r>
          </w:p>
          <w:p w:rsidR="003163C8" w:rsidRPr="00627630" w:rsidRDefault="00AF4CFA" w:rsidP="00627630">
            <w:pPr>
              <w:pStyle w:val="a3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7630">
              <w:rPr>
                <w:rFonts w:ascii="Times New Roman" w:hAnsi="Times New Roman"/>
                <w:sz w:val="26"/>
                <w:szCs w:val="26"/>
              </w:rPr>
              <w:t xml:space="preserve">Составлено 64 протокола о привлечении физических, юридических </w:t>
            </w:r>
            <w:r w:rsidRPr="00627630">
              <w:rPr>
                <w:rFonts w:ascii="Times New Roman" w:hAnsi="Times New Roman"/>
                <w:sz w:val="26"/>
                <w:szCs w:val="26"/>
              </w:rPr>
              <w:br/>
              <w:t xml:space="preserve">и должностных лиц к административной ответственности, назначено судами штрафов на сумму </w:t>
            </w:r>
            <w:r w:rsidRPr="00627630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4 889 тысяч</w:t>
            </w:r>
            <w:r w:rsidRPr="0062763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рублей.</w:t>
            </w:r>
          </w:p>
        </w:tc>
      </w:tr>
      <w:tr w:rsidR="003163C8" w:rsidRPr="00627630" w:rsidTr="00627630">
        <w:trPr>
          <w:gridAfter w:val="1"/>
          <w:wAfter w:w="171" w:type="dxa"/>
          <w:trHeight w:val="239"/>
        </w:trPr>
        <w:tc>
          <w:tcPr>
            <w:tcW w:w="10162" w:type="dxa"/>
            <w:gridSpan w:val="2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163C8" w:rsidRPr="00627630" w:rsidRDefault="003163C8" w:rsidP="0062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763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2.2 Вклад основных результатов в решение задач и достижение целей подпрограммы:</w:t>
            </w:r>
          </w:p>
        </w:tc>
      </w:tr>
      <w:tr w:rsidR="003163C8" w:rsidRPr="00627630" w:rsidTr="00627630">
        <w:trPr>
          <w:gridAfter w:val="1"/>
          <w:wAfter w:w="171" w:type="dxa"/>
          <w:trHeight w:val="239"/>
        </w:trPr>
        <w:tc>
          <w:tcPr>
            <w:tcW w:w="10162" w:type="dxa"/>
            <w:gridSpan w:val="2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F4CFA" w:rsidRPr="00627630" w:rsidRDefault="00AF4CFA" w:rsidP="006276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Получено </w:t>
            </w:r>
            <w:r w:rsidR="00627630"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п</w:t>
            </w:r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оложительное заключение ФАУ «</w:t>
            </w:r>
            <w:proofErr w:type="spellStart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Главгосэспертиза</w:t>
            </w:r>
            <w:proofErr w:type="spellEnd"/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России» на проектную документацию по приспособлению объекта культурного наследия «Дом Гражданского губернатора, XIX в.» (г. Калуга, ул. Карла Маркса, д. 6) под музейно-выставочный центр Государственного Эрмитажа.</w:t>
            </w:r>
            <w:r w:rsidR="00627630"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В течение 2 лет проектной организацией АК-проект устранялись замечания экспертов.</w:t>
            </w:r>
          </w:p>
          <w:p w:rsidR="00AF4CFA" w:rsidRPr="00627630" w:rsidRDefault="00AF4CFA" w:rsidP="006276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</w:pPr>
            <w:r w:rsidRPr="00627630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Осуществлено административное сопровождение ремонтных работ на воинских захоронениях к 75-летию Великой Победы</w:t>
            </w:r>
          </w:p>
          <w:p w:rsidR="00AF4CFA" w:rsidRPr="00627630" w:rsidRDefault="00AF4CFA" w:rsidP="006276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Управлением проведены консультации по порядку проведения работ по сохранению ОКН, направлены соответствующие циркуляры в МО, оказано всесторонне содействие по получению разрешительной документации в кратчайшие сроки. </w:t>
            </w:r>
          </w:p>
          <w:p w:rsidR="00AF4CFA" w:rsidRPr="00627630" w:rsidRDefault="00AF4CFA" w:rsidP="006276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За отчетный период Управлением подготовлено и выдано:</w:t>
            </w:r>
          </w:p>
          <w:p w:rsidR="00AF4CFA" w:rsidRPr="00627630" w:rsidRDefault="00AF4CFA" w:rsidP="006276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-</w:t>
            </w:r>
            <w:r w:rsidR="00627630"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627630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более 50 заданий</w:t>
            </w:r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на проектирование;</w:t>
            </w:r>
          </w:p>
          <w:p w:rsidR="00AF4CFA" w:rsidRPr="00627630" w:rsidRDefault="00AF4CFA" w:rsidP="006276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- </w:t>
            </w:r>
            <w:r w:rsidRPr="00627630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более 40 разрешений</w:t>
            </w:r>
            <w:r w:rsidRPr="00627630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на ремонт и благоустройство воинских захоронений (рассмотрено соответственно более 40 проектов).</w:t>
            </w:r>
          </w:p>
          <w:p w:rsidR="003163C8" w:rsidRPr="00627630" w:rsidRDefault="00AF4CFA" w:rsidP="00627630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7630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 xml:space="preserve">Достигнуты показатели целевой </w:t>
            </w:r>
            <w:proofErr w:type="gramStart"/>
            <w:r w:rsidRPr="00627630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модели упрощения процедур ведения бизнеса</w:t>
            </w:r>
            <w:proofErr w:type="gramEnd"/>
            <w:r w:rsidRPr="00627630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 xml:space="preserve"> и повышения инвестиционной привлекательности субъектов Российской Федерации.</w:t>
            </w:r>
            <w:r w:rsidRPr="00627630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ab/>
            </w:r>
          </w:p>
        </w:tc>
      </w:tr>
      <w:tr w:rsidR="003163C8" w:rsidRPr="00627630" w:rsidTr="00627630">
        <w:trPr>
          <w:gridAfter w:val="1"/>
          <w:wAfter w:w="171" w:type="dxa"/>
          <w:trHeight w:val="239"/>
        </w:trPr>
        <w:tc>
          <w:tcPr>
            <w:tcW w:w="10162" w:type="dxa"/>
            <w:gridSpan w:val="2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163C8" w:rsidRPr="00627630" w:rsidRDefault="003163C8" w:rsidP="0062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76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3. Сведения о степени соответствия установленных и достигнутых показателей</w:t>
            </w:r>
            <w:r w:rsidR="00627630" w:rsidRPr="006276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276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подпрограммы за отчетный год:</w:t>
            </w:r>
          </w:p>
        </w:tc>
      </w:tr>
      <w:tr w:rsidR="003163C8" w:rsidRPr="00627630" w:rsidTr="00627630">
        <w:trPr>
          <w:gridAfter w:val="1"/>
          <w:wAfter w:w="171" w:type="dxa"/>
          <w:trHeight w:val="239"/>
        </w:trPr>
        <w:tc>
          <w:tcPr>
            <w:tcW w:w="10162" w:type="dxa"/>
            <w:gridSpan w:val="2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163C8" w:rsidRPr="00627630" w:rsidRDefault="003163C8" w:rsidP="0062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7630">
              <w:rPr>
                <w:rFonts w:ascii="Times New Roman" w:hAnsi="Times New Roman"/>
                <w:color w:val="000000"/>
                <w:sz w:val="26"/>
                <w:szCs w:val="26"/>
              </w:rPr>
              <w:t>3.1 Плановые значения выполнены на 100 % и выше по следующим показателям:</w:t>
            </w:r>
          </w:p>
        </w:tc>
      </w:tr>
      <w:tr w:rsidR="003163C8" w:rsidRPr="00627630" w:rsidTr="00627630">
        <w:trPr>
          <w:gridAfter w:val="1"/>
          <w:wAfter w:w="171" w:type="dxa"/>
          <w:trHeight w:val="239"/>
        </w:trPr>
        <w:tc>
          <w:tcPr>
            <w:tcW w:w="10162" w:type="dxa"/>
            <w:gridSpan w:val="2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163C8" w:rsidRPr="00627630" w:rsidRDefault="003163C8" w:rsidP="0062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7630">
              <w:rPr>
                <w:rFonts w:ascii="Times New Roman" w:hAnsi="Times New Roman"/>
                <w:color w:val="000000"/>
                <w:sz w:val="26"/>
                <w:szCs w:val="26"/>
              </w:rPr>
              <w:t>1. 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</w:t>
            </w:r>
            <w:proofErr w:type="gramStart"/>
            <w:r w:rsidRPr="00627630">
              <w:rPr>
                <w:rFonts w:ascii="Times New Roman" w:hAnsi="Times New Roman"/>
                <w:color w:val="000000"/>
                <w:sz w:val="26"/>
                <w:szCs w:val="26"/>
              </w:rPr>
              <w:t>.;</w:t>
            </w:r>
            <w:proofErr w:type="gramEnd"/>
          </w:p>
        </w:tc>
      </w:tr>
      <w:tr w:rsidR="003163C8" w:rsidRPr="00627630" w:rsidTr="00627630">
        <w:trPr>
          <w:gridAfter w:val="1"/>
          <w:wAfter w:w="171" w:type="dxa"/>
          <w:trHeight w:val="239"/>
        </w:trPr>
        <w:tc>
          <w:tcPr>
            <w:tcW w:w="10162" w:type="dxa"/>
            <w:gridSpan w:val="2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163C8" w:rsidRPr="00627630" w:rsidRDefault="003163C8" w:rsidP="0062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76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 </w:t>
            </w:r>
            <w:proofErr w:type="gramStart"/>
            <w:r w:rsidRPr="00627630">
              <w:rPr>
                <w:rFonts w:ascii="Times New Roman" w:hAnsi="Times New Roman"/>
                <w:color w:val="000000"/>
                <w:sz w:val="26"/>
                <w:szCs w:val="26"/>
              </w:rPr>
              <w:t>Для объектов недвижимости, включенных в Единый государственный реестр объектов культурного наследия (за исключением объектов культурного наследия, утвержденных распоряжением Правительства Российской Федерации от 01.06.2009 N 759-р (в ред. распоряжений Правительства Российской Федерации от 09.06.2010 N 950-р, от 30.11.2010 N 2134-р, постановления Правительства Российской Федерации от 18.05.2011 N 399, распоряжений Правительства Российской Федерации от 10.06.2011 N 1016-р, от 18.11.2011 N 2072-р, от</w:t>
            </w:r>
            <w:proofErr w:type="gramEnd"/>
            <w:r w:rsidRPr="006276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12.12.2012 N 2339-р, от 03.06.2013 N 898-р, от 18.01.2014 N 34-р, от 07.08.2014 N 1480-р, от 30.12.2014 N 2776-р, от 17.10.2015 N 2082-р, от 03.08.2016 N 1653-р, от 27.09.2016 N 2028-р, от 03.06.2017 N 1162-р, от 06.12.2018 N 2705-р)), </w:t>
            </w:r>
            <w:proofErr w:type="gramStart"/>
            <w:r w:rsidRPr="00627630">
              <w:rPr>
                <w:rFonts w:ascii="Times New Roman" w:hAnsi="Times New Roman"/>
                <w:color w:val="000000"/>
                <w:sz w:val="26"/>
                <w:szCs w:val="26"/>
              </w:rPr>
              <w:t>сведения</w:t>
            </w:r>
            <w:proofErr w:type="gramEnd"/>
            <w:r w:rsidRPr="006276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 которых внесены в Единый государственный реестр недвижимости, в общем количестве </w:t>
            </w:r>
            <w:r w:rsidRPr="0062763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таких объектов культурного наследия, включенных в Единый государственный реестр объектов культурного наследия, на террит</w:t>
            </w:r>
            <w:r w:rsidR="00627630" w:rsidRPr="00627630">
              <w:rPr>
                <w:rFonts w:ascii="Times New Roman" w:hAnsi="Times New Roman"/>
                <w:color w:val="000000"/>
                <w:sz w:val="26"/>
                <w:szCs w:val="26"/>
              </w:rPr>
              <w:t>ории Калужской области</w:t>
            </w:r>
            <w:r w:rsidRPr="00627630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</w:tc>
      </w:tr>
      <w:tr w:rsidR="003163C8" w:rsidRPr="00627630" w:rsidTr="00627630">
        <w:trPr>
          <w:gridAfter w:val="1"/>
          <w:wAfter w:w="171" w:type="dxa"/>
          <w:trHeight w:val="239"/>
        </w:trPr>
        <w:tc>
          <w:tcPr>
            <w:tcW w:w="10162" w:type="dxa"/>
            <w:gridSpan w:val="2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163C8" w:rsidRPr="00627630" w:rsidRDefault="003163C8" w:rsidP="0062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763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3. </w:t>
            </w:r>
            <w:proofErr w:type="gramStart"/>
            <w:r w:rsidRPr="00627630">
              <w:rPr>
                <w:rFonts w:ascii="Times New Roman" w:hAnsi="Times New Roman"/>
                <w:color w:val="000000"/>
                <w:sz w:val="26"/>
                <w:szCs w:val="26"/>
              </w:rPr>
              <w:t>Доля территории объектов недвижимости, включенных в Единый государственный реестр объектов культурного наследия (за исключением объектов культурного наследия, утвержденных распоряжением Правительства Российской Федерации от 01.06.2009 N 759-р (в ред. распоряжений Правительства Российской Федерации от 09.06.2010 N 950-р, от 30.11.2010 N 2134-р, постановления Правительства Российской Федерации от 18.05.2011 N 399, распоряжений Правительства Российской Федерации от 10.06.2011 N 1016-р, от 18.11.2011 N 2072-р</w:t>
            </w:r>
            <w:proofErr w:type="gramEnd"/>
            <w:r w:rsidRPr="006276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от 12.12.2012 N 2339-р, от 03.06.2013 N 898-р, от 18.01.2014 N 34-р, от 07.08.2014 N 1480-р, от 30.12.2014 N 2776-р, от 17.10.2015 N 2082-р, от 03.08.2016 N 1653-р, от 27.09.2016 N 2028-р, от 03.06.2017 N 1162-р, от 06.12.2018 N 2705-р)), </w:t>
            </w:r>
            <w:proofErr w:type="gramStart"/>
            <w:r w:rsidRPr="00627630">
              <w:rPr>
                <w:rFonts w:ascii="Times New Roman" w:hAnsi="Times New Roman"/>
                <w:color w:val="000000"/>
                <w:sz w:val="26"/>
                <w:szCs w:val="26"/>
              </w:rPr>
              <w:t>сведения</w:t>
            </w:r>
            <w:proofErr w:type="gramEnd"/>
            <w:r w:rsidRPr="006276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 которых внесены в Единый государственный реестр недвижимости, в общем количестве территорий таких объектов культурного наследия, включенных в Единый государственный реестр объектов культурного наследия, на территории Калужской области.</w:t>
            </w:r>
          </w:p>
        </w:tc>
      </w:tr>
      <w:tr w:rsidR="003163C8" w:rsidRPr="00627630" w:rsidTr="00627630">
        <w:trPr>
          <w:gridAfter w:val="1"/>
          <w:wAfter w:w="171" w:type="dxa"/>
          <w:trHeight w:val="239"/>
        </w:trPr>
        <w:tc>
          <w:tcPr>
            <w:tcW w:w="10162" w:type="dxa"/>
            <w:gridSpan w:val="2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163C8" w:rsidRPr="00627630" w:rsidRDefault="003163C8" w:rsidP="0062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7630">
              <w:rPr>
                <w:rFonts w:ascii="Times New Roman" w:hAnsi="Times New Roman"/>
                <w:color w:val="000000"/>
                <w:sz w:val="26"/>
                <w:szCs w:val="26"/>
              </w:rPr>
              <w:t>3.2</w:t>
            </w:r>
            <w:proofErr w:type="gramStart"/>
            <w:r w:rsidRPr="006276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</w:t>
            </w:r>
            <w:proofErr w:type="gramEnd"/>
            <w:r w:rsidRPr="00627630">
              <w:rPr>
                <w:rFonts w:ascii="Times New Roman" w:hAnsi="Times New Roman"/>
                <w:color w:val="000000"/>
                <w:sz w:val="26"/>
                <w:szCs w:val="26"/>
              </w:rPr>
              <w:t>е выполнены запланированные значения по следующим показателям:</w:t>
            </w:r>
          </w:p>
        </w:tc>
      </w:tr>
      <w:tr w:rsidR="003163C8" w:rsidRPr="00627630" w:rsidTr="00627630">
        <w:trPr>
          <w:gridAfter w:val="1"/>
          <w:wAfter w:w="171" w:type="dxa"/>
          <w:trHeight w:val="239"/>
        </w:trPr>
        <w:tc>
          <w:tcPr>
            <w:tcW w:w="10162" w:type="dxa"/>
            <w:gridSpan w:val="2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163C8" w:rsidRPr="00627630" w:rsidRDefault="00AF4CFA" w:rsidP="0062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7630">
              <w:rPr>
                <w:rFonts w:ascii="Times New Roman" w:hAnsi="Times New Roman"/>
                <w:color w:val="000000"/>
                <w:sz w:val="26"/>
                <w:szCs w:val="26"/>
              </w:rPr>
              <w:t>Показатели с невыполненными запланированными значениями отсутствуют.</w:t>
            </w:r>
          </w:p>
          <w:p w:rsidR="00627630" w:rsidRPr="00627630" w:rsidRDefault="00627630" w:rsidP="0062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7630">
              <w:rPr>
                <w:rFonts w:ascii="Times New Roman" w:hAnsi="Times New Roman"/>
                <w:i/>
                <w:iCs/>
                <w:sz w:val="26"/>
                <w:szCs w:val="26"/>
              </w:rPr>
              <w:t>Сведения о показателях подпрограммы и их значениях представлены в приложении № 1.</w:t>
            </w:r>
          </w:p>
        </w:tc>
      </w:tr>
      <w:tr w:rsidR="003163C8" w:rsidRPr="00627630" w:rsidTr="00627630">
        <w:trPr>
          <w:gridAfter w:val="1"/>
          <w:wAfter w:w="171" w:type="dxa"/>
          <w:trHeight w:val="239"/>
        </w:trPr>
        <w:tc>
          <w:tcPr>
            <w:tcW w:w="10162" w:type="dxa"/>
            <w:gridSpan w:val="2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163C8" w:rsidRPr="00627630" w:rsidRDefault="003163C8" w:rsidP="0062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76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4. Перечень контрольных событий, выполненных и не выполненных (с указанием причин) в установленные сроки</w:t>
            </w:r>
          </w:p>
        </w:tc>
      </w:tr>
      <w:tr w:rsidR="003163C8" w:rsidRPr="00627630" w:rsidTr="00627630">
        <w:trPr>
          <w:gridAfter w:val="1"/>
          <w:wAfter w:w="171" w:type="dxa"/>
          <w:trHeight w:val="239"/>
        </w:trPr>
        <w:tc>
          <w:tcPr>
            <w:tcW w:w="10162" w:type="dxa"/>
            <w:gridSpan w:val="2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163C8" w:rsidRPr="00627630" w:rsidRDefault="003163C8" w:rsidP="0062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7630">
              <w:rPr>
                <w:rFonts w:ascii="Times New Roman" w:hAnsi="Times New Roman"/>
                <w:color w:val="000000"/>
                <w:sz w:val="26"/>
                <w:szCs w:val="26"/>
              </w:rPr>
              <w:t>«Контрольные события не предусмотрены»</w:t>
            </w:r>
          </w:p>
        </w:tc>
      </w:tr>
      <w:tr w:rsidR="003163C8" w:rsidRPr="00627630" w:rsidTr="00627630">
        <w:trPr>
          <w:gridAfter w:val="1"/>
          <w:wAfter w:w="171" w:type="dxa"/>
          <w:trHeight w:val="239"/>
        </w:trPr>
        <w:tc>
          <w:tcPr>
            <w:tcW w:w="10162" w:type="dxa"/>
            <w:gridSpan w:val="2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163C8" w:rsidRPr="00627630" w:rsidRDefault="003163C8" w:rsidP="0062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76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5. Данные об использовании бюджетных ассигнований и средств из иных источников, направленных на реализацию подпрограммы, в разрезе программных мероприятий</w:t>
            </w:r>
          </w:p>
        </w:tc>
      </w:tr>
      <w:tr w:rsidR="003163C8" w:rsidRPr="00627630" w:rsidTr="00627630">
        <w:trPr>
          <w:gridAfter w:val="1"/>
          <w:wAfter w:w="171" w:type="dxa"/>
          <w:trHeight w:val="239"/>
        </w:trPr>
        <w:tc>
          <w:tcPr>
            <w:tcW w:w="10162" w:type="dxa"/>
            <w:gridSpan w:val="2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163C8" w:rsidRPr="00627630" w:rsidRDefault="003163C8" w:rsidP="0062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76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Фактическое финансирование подпрограммы в 2020 году составило 33472.818 тыс. руб., в том числе за счет средств: </w:t>
            </w:r>
          </w:p>
        </w:tc>
      </w:tr>
      <w:tr w:rsidR="003163C8" w:rsidRPr="00627630" w:rsidTr="00627630">
        <w:trPr>
          <w:gridAfter w:val="1"/>
          <w:wAfter w:w="171" w:type="dxa"/>
          <w:trHeight w:val="239"/>
        </w:trPr>
        <w:tc>
          <w:tcPr>
            <w:tcW w:w="10162" w:type="dxa"/>
            <w:gridSpan w:val="2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163C8" w:rsidRPr="00627630" w:rsidRDefault="003163C8" w:rsidP="0062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7630">
              <w:rPr>
                <w:rFonts w:ascii="Times New Roman" w:hAnsi="Times New Roman"/>
                <w:color w:val="000000"/>
                <w:sz w:val="26"/>
                <w:szCs w:val="26"/>
              </w:rPr>
              <w:t>- областного бюджета 33472.818 тыс. руб.</w:t>
            </w:r>
          </w:p>
        </w:tc>
      </w:tr>
      <w:tr w:rsidR="003163C8" w:rsidRPr="00627630" w:rsidTr="00627630">
        <w:trPr>
          <w:gridAfter w:val="1"/>
          <w:wAfter w:w="171" w:type="dxa"/>
          <w:trHeight w:val="239"/>
        </w:trPr>
        <w:tc>
          <w:tcPr>
            <w:tcW w:w="10162" w:type="dxa"/>
            <w:gridSpan w:val="2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27630" w:rsidRPr="00627630" w:rsidRDefault="00627630" w:rsidP="0062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1" w:name="_GoBack"/>
            <w:r w:rsidRPr="009F3A34">
              <w:rPr>
                <w:rFonts w:ascii="Times New Roman" w:hAnsi="Times New Roman"/>
                <w:i/>
                <w:iCs/>
                <w:sz w:val="26"/>
                <w:szCs w:val="26"/>
              </w:rPr>
              <w:t>Данные об использовании бюджетных и иных средств на реализацию мероприятий подпрограммы представлены в приложении № 2.</w:t>
            </w:r>
            <w:bookmarkEnd w:id="1"/>
          </w:p>
        </w:tc>
      </w:tr>
      <w:tr w:rsidR="003163C8" w:rsidRPr="00627630" w:rsidTr="00627630">
        <w:trPr>
          <w:gridAfter w:val="1"/>
          <w:wAfter w:w="171" w:type="dxa"/>
          <w:trHeight w:val="239"/>
        </w:trPr>
        <w:tc>
          <w:tcPr>
            <w:tcW w:w="10162" w:type="dxa"/>
            <w:gridSpan w:val="2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163C8" w:rsidRPr="00627630" w:rsidRDefault="003163C8" w:rsidP="0062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76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6. Оценка эффективности реализации подпрограммы</w:t>
            </w:r>
          </w:p>
        </w:tc>
      </w:tr>
      <w:tr w:rsidR="003163C8" w:rsidRPr="00627630" w:rsidTr="00627630">
        <w:trPr>
          <w:gridAfter w:val="1"/>
          <w:wAfter w:w="171" w:type="dxa"/>
          <w:trHeight w:val="239"/>
        </w:trPr>
        <w:tc>
          <w:tcPr>
            <w:tcW w:w="10162" w:type="dxa"/>
            <w:gridSpan w:val="2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163C8" w:rsidRPr="00627630" w:rsidRDefault="003163C8" w:rsidP="0062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7630">
              <w:rPr>
                <w:rFonts w:ascii="Times New Roman" w:hAnsi="Times New Roman"/>
                <w:color w:val="000000"/>
                <w:sz w:val="26"/>
                <w:szCs w:val="26"/>
              </w:rPr>
              <w:t>В соответствии с Порядком проведения оценки эффективности реализации государственных программ Калужской области (постановление Правительства Калужской области от 17.07.2013 № 366) в 2020 году реализация подпрограммы Калужской области «Обеспечение государственной охраны, сохранения, использования и популяризации объектов культурного наследия, усадебных комплексов и военно-мемориальных объектов» характеризуется высоким уровнем эффективности – 100 %</w:t>
            </w:r>
          </w:p>
          <w:p w:rsidR="00627630" w:rsidRPr="00627630" w:rsidRDefault="00627630" w:rsidP="0062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7630">
              <w:rPr>
                <w:rFonts w:ascii="Times New Roman" w:hAnsi="Times New Roman"/>
                <w:i/>
                <w:iCs/>
                <w:sz w:val="26"/>
                <w:szCs w:val="26"/>
              </w:rPr>
              <w:t>Расчет по оценке эффективности реализации подпрограммы представлен в приложении № 3.3.</w:t>
            </w:r>
          </w:p>
        </w:tc>
      </w:tr>
      <w:tr w:rsidR="003163C8" w:rsidRPr="00627630" w:rsidTr="00627630">
        <w:trPr>
          <w:gridAfter w:val="1"/>
          <w:wAfter w:w="171" w:type="dxa"/>
          <w:trHeight w:val="239"/>
        </w:trPr>
        <w:tc>
          <w:tcPr>
            <w:tcW w:w="10162" w:type="dxa"/>
            <w:gridSpan w:val="2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163C8" w:rsidRPr="00627630" w:rsidRDefault="003163C8" w:rsidP="0062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163C8" w:rsidRPr="00627630" w:rsidRDefault="003163C8" w:rsidP="0062763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sectPr w:rsidR="003163C8" w:rsidRPr="00627630">
      <w:footerReference w:type="default" r:id="rId8"/>
      <w:pgSz w:w="11950" w:h="16901"/>
      <w:pgMar w:top="1134" w:right="567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627" w:rsidRDefault="000D2627">
      <w:pPr>
        <w:spacing w:after="0" w:line="240" w:lineRule="auto"/>
      </w:pPr>
      <w:r>
        <w:separator/>
      </w:r>
    </w:p>
  </w:endnote>
  <w:endnote w:type="continuationSeparator" w:id="0">
    <w:p w:rsidR="000D2627" w:rsidRDefault="000D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3C8" w:rsidRDefault="003163C8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>PAGE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9F3A34">
      <w:rPr>
        <w:rFonts w:ascii="Times New Roman" w:hAnsi="Times New Roman"/>
        <w:noProof/>
        <w:color w:val="000000"/>
        <w:sz w:val="20"/>
        <w:szCs w:val="20"/>
      </w:rPr>
      <w:t>5</w:t>
    </w:r>
    <w:r>
      <w:rPr>
        <w:rFonts w:ascii="Times New Roman" w:hAnsi="Times New Roman"/>
        <w:color w:val="000000"/>
        <w:sz w:val="20"/>
        <w:szCs w:val="20"/>
      </w:rPr>
      <w:fldChar w:fldCharType="end"/>
    </w:r>
    <w:r>
      <w:rPr>
        <w:rFonts w:ascii="Times New Roman" w:hAnsi="Times New Roman"/>
        <w:color w:val="000000"/>
        <w:sz w:val="20"/>
        <w:szCs w:val="20"/>
      </w:rPr>
      <w:t xml:space="preserve"> из </w:t>
    </w: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>NUMPAGES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9F3A34">
      <w:rPr>
        <w:rFonts w:ascii="Times New Roman" w:hAnsi="Times New Roman"/>
        <w:noProof/>
        <w:color w:val="000000"/>
        <w:sz w:val="20"/>
        <w:szCs w:val="20"/>
      </w:rPr>
      <w:t>5</w:t>
    </w:r>
    <w:r>
      <w:rPr>
        <w:rFonts w:ascii="Times New Roman" w:hAnsi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627" w:rsidRDefault="000D2627">
      <w:pPr>
        <w:spacing w:after="0" w:line="240" w:lineRule="auto"/>
      </w:pPr>
      <w:r>
        <w:separator/>
      </w:r>
    </w:p>
  </w:footnote>
  <w:footnote w:type="continuationSeparator" w:id="0">
    <w:p w:rsidR="000D2627" w:rsidRDefault="000D2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58CE"/>
    <w:multiLevelType w:val="hybridMultilevel"/>
    <w:tmpl w:val="9C5057A2"/>
    <w:lvl w:ilvl="0" w:tplc="E0C20052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83E3D56"/>
    <w:multiLevelType w:val="hybridMultilevel"/>
    <w:tmpl w:val="7A0469E4"/>
    <w:lvl w:ilvl="0" w:tplc="DA66FA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954C6"/>
    <w:multiLevelType w:val="hybridMultilevel"/>
    <w:tmpl w:val="22FA5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220CD5"/>
    <w:multiLevelType w:val="hybridMultilevel"/>
    <w:tmpl w:val="DAF2382C"/>
    <w:lvl w:ilvl="0" w:tplc="A864AB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97"/>
    <w:rsid w:val="000D2627"/>
    <w:rsid w:val="00295D96"/>
    <w:rsid w:val="003163C8"/>
    <w:rsid w:val="00627630"/>
    <w:rsid w:val="00651AAB"/>
    <w:rsid w:val="00685597"/>
    <w:rsid w:val="009F3A34"/>
    <w:rsid w:val="00AF4CFA"/>
    <w:rsid w:val="00DF0525"/>
    <w:rsid w:val="00EC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CFA"/>
    <w:pPr>
      <w:spacing w:after="0" w:line="240" w:lineRule="auto"/>
    </w:pPr>
    <w:rPr>
      <w:rFonts w:ascii="Calibri" w:eastAsia="Times New Roman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CFA"/>
    <w:pPr>
      <w:spacing w:after="0" w:line="240" w:lineRule="auto"/>
    </w:pPr>
    <w:rPr>
      <w:rFonts w:ascii="Calibri" w:eastAsia="Times New Roman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s_makarov 30.07.2018 19:34:32; РР·РјРµРЅРµРЅ: m_brovkin 09.03.2021 11:52:55</dc:subject>
  <dc:creator>Keysystems.DWH2.ReportDesigner</dc:creator>
  <cp:lastModifiedBy>Сенина Ольга Валентиновна</cp:lastModifiedBy>
  <cp:revision>3</cp:revision>
  <dcterms:created xsi:type="dcterms:W3CDTF">2021-03-18T09:05:00Z</dcterms:created>
  <dcterms:modified xsi:type="dcterms:W3CDTF">2021-03-19T11:58:00Z</dcterms:modified>
</cp:coreProperties>
</file>